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bookmarkStart w:id="0" w:name="OLE_LINK25"/>
      <w:bookmarkStart w:id="1" w:name="OLE_LINK33"/>
      <w:bookmarkStart w:id="2" w:name="OLE_LINK34"/>
      <w:bookmarkStart w:id="3" w:name="OLE_LINK12"/>
      <w:bookmarkStart w:id="4" w:name="OLE_LINK24"/>
      <w:bookmarkStart w:id="5" w:name="OLE_LINK13"/>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8</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hint="eastAsia" w:ascii="Times New Roman" w:hAnsi="Times New Roman" w:eastAsia="宋体"/>
          <w:b/>
          <w:sz w:val="24"/>
          <w:szCs w:val="24"/>
          <w:lang w:eastAsia="ja-JP"/>
        </w:rPr>
        <w:t>R1-240</w:t>
      </w:r>
      <w:r>
        <w:rPr>
          <w:rFonts w:hint="eastAsia" w:ascii="Times New Roman" w:hAnsi="Times New Roman" w:eastAsia="宋体"/>
          <w:b/>
          <w:sz w:val="24"/>
          <w:szCs w:val="24"/>
        </w:rPr>
        <w:t>6460</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Maastricht, NL, August 19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23</w:t>
      </w:r>
      <w:r>
        <w:rPr>
          <w:rFonts w:hint="eastAsia" w:ascii="Times New Roman" w:hAnsi="Times New Roman"/>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09" w:hanging="1803" w:hangingChars="819"/>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sz w:val="22"/>
          <w:szCs w:val="22"/>
          <w:lang w:eastAsia="zh-CN"/>
        </w:rPr>
        <w:t>Discussion on the maximum number of PL RS maintained simultaneously for candidate cells</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elaborate our views on how many PL RSs should be maintained simultaneously before LTM Cell Switch Command MAC CE and whether they still need to be maintained after reception of LTM Cell Switch Command MAC CE.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80" w:after="60" w:line="288" w:lineRule="auto"/>
        <w:jc w:val="both"/>
        <w:rPr>
          <w:rFonts w:ascii="Times New Roman" w:hAnsi="Times New Roman"/>
          <w:sz w:val="20"/>
          <w:szCs w:val="20"/>
        </w:rPr>
      </w:pPr>
      <w:bookmarkStart w:id="7" w:name="OLE_LINK21"/>
      <w:bookmarkStart w:id="8" w:name="OLE_LINK15"/>
      <w:bookmarkStart w:id="9" w:name="OLE_LINK18"/>
      <w:r>
        <w:rPr>
          <w:rFonts w:hint="eastAsia" w:ascii="Times New Roman" w:hAnsi="Times New Roman"/>
          <w:sz w:val="20"/>
          <w:szCs w:val="20"/>
        </w:rPr>
        <w:t>In RAN1#99 meeting, RAN1 has agreed as in Rel-16 that the maximum number of configurable PL RSs is 64 but the maximum number of PL RSs maintained simultaneously by UE is up to 4 per serving cell for all PUSCH/PUCCH/SRS transmissions.</w:t>
      </w:r>
    </w:p>
    <w:tbl>
      <w:tblPr>
        <w:tblStyle w:val="2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3" w:type="dxa"/>
          </w:tcPr>
          <w:p>
            <w:pPr>
              <w:pStyle w:val="97"/>
              <w:spacing w:before="60" w:after="320" w:afterLines="0" w:line="360" w:lineRule="auto"/>
              <w:contextualSpacing/>
              <w:rPr>
                <w:b/>
                <w:bCs/>
                <w:sz w:val="20"/>
                <w:szCs w:val="20"/>
                <w:u w:val="single"/>
                <w:lang w:eastAsia="zh-CN"/>
              </w:rPr>
            </w:pPr>
            <w:r>
              <w:rPr>
                <w:b/>
                <w:bCs/>
                <w:sz w:val="20"/>
                <w:szCs w:val="20"/>
                <w:u w:val="single"/>
              </w:rPr>
              <w:t>Agreement</w:t>
            </w:r>
            <w:r>
              <w:rPr>
                <w:rFonts w:hint="eastAsia"/>
                <w:b/>
                <w:bCs/>
                <w:sz w:val="20"/>
                <w:szCs w:val="20"/>
                <w:u w:val="single"/>
                <w:lang w:eastAsia="zh-CN"/>
              </w:rPr>
              <w:t>_RAN1#99 meeting (Rel-16)</w:t>
            </w:r>
          </w:p>
          <w:p>
            <w:pPr>
              <w:pStyle w:val="97"/>
              <w:spacing w:before="60" w:after="80" w:afterLines="0" w:line="240" w:lineRule="exact"/>
              <w:contextualSpacing/>
              <w:rPr>
                <w:bCs/>
                <w:sz w:val="20"/>
                <w:szCs w:val="20"/>
              </w:rPr>
            </w:pPr>
            <w:r>
              <w:rPr>
                <w:bCs/>
                <w:sz w:val="20"/>
                <w:szCs w:val="20"/>
              </w:rPr>
              <w:t>On power control for PUSCH, PUCCH, and SRS, the total number of maximum configurable pathloss RSs, in including those supported in Rel-15, by RRC is 64</w:t>
            </w:r>
          </w:p>
          <w:p>
            <w:pPr>
              <w:pStyle w:val="101"/>
              <w:numPr>
                <w:ilvl w:val="0"/>
                <w:numId w:val="5"/>
              </w:numPr>
              <w:spacing w:after="80" w:line="240" w:lineRule="exact"/>
              <w:ind w:left="400" w:hanging="400" w:hangingChars="200"/>
              <w:rPr>
                <w:rFonts w:ascii="Times New Roman" w:hAnsi="Times New Roman"/>
                <w:bCs/>
                <w:sz w:val="20"/>
                <w:szCs w:val="20"/>
                <w:highlight w:val="yellow"/>
              </w:rPr>
            </w:pPr>
            <w:r>
              <w:rPr>
                <w:rFonts w:ascii="Times New Roman" w:hAnsi="Times New Roman"/>
                <w:bCs/>
                <w:sz w:val="20"/>
                <w:szCs w:val="20"/>
                <w:highlight w:val="yellow"/>
              </w:rPr>
              <w:t xml:space="preserve">Note: Such pathloss reference signals are for configuration purpose only, and UE is still only required to track up to 4 pathloss RSs for any PUSCH, PUCCH, and SRS transmissions. </w:t>
            </w:r>
          </w:p>
          <w:p>
            <w:pPr>
              <w:pStyle w:val="101"/>
              <w:numPr>
                <w:ilvl w:val="0"/>
                <w:numId w:val="6"/>
              </w:numPr>
              <w:spacing w:line="240" w:lineRule="exact"/>
              <w:ind w:left="839" w:firstLine="400"/>
              <w:rPr>
                <w:rFonts w:ascii="Times New Roman" w:hAnsi="Times New Roman"/>
                <w:sz w:val="20"/>
                <w:szCs w:val="20"/>
              </w:rPr>
            </w:pPr>
            <w:r>
              <w:rPr>
                <w:rFonts w:ascii="Times New Roman" w:hAnsi="Times New Roman"/>
                <w:bCs/>
                <w:sz w:val="20"/>
                <w:szCs w:val="20"/>
                <w:highlight w:val="yellow"/>
              </w:rPr>
              <w:t>“Up to 4 pathloss RSs” applies the total number of pathloss RSs for PUSCH, PUCCH, and SRS</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In Rel-17 unified TCI framework, MAC CE can be used to activate up to 8 joint TCI states or 8 pairs of DL TCI and UL TCI states where each joint TCI state or UL TCI state is configured with one PL RS. However, it has the same limitation as Rel-16, that is, the maximum number of different PL RS that the UE is allowed to maintain simultaneously is 4 for all PUSCH/PUCCH/SRS transmission for a serving cell, as agreed in RAN1#104-e meeting.</w:t>
      </w:r>
    </w:p>
    <w:tbl>
      <w:tblPr>
        <w:tblStyle w:val="29"/>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0" w:type="dxa"/>
          </w:tcPr>
          <w:p>
            <w:pPr>
              <w:pStyle w:val="97"/>
              <w:spacing w:before="60" w:after="80" w:afterLines="0" w:line="240" w:lineRule="exact"/>
              <w:contextualSpacing/>
              <w:rPr>
                <w:b/>
                <w:bCs/>
                <w:sz w:val="20"/>
                <w:szCs w:val="20"/>
                <w:u w:val="single"/>
              </w:rPr>
            </w:pPr>
            <w:r>
              <w:rPr>
                <w:b/>
                <w:bCs/>
                <w:sz w:val="20"/>
                <w:szCs w:val="20"/>
                <w:u w:val="single"/>
                <w:lang w:val="en-GB"/>
              </w:rPr>
              <w:t>Agreement</w:t>
            </w:r>
            <w:r>
              <w:rPr>
                <w:rFonts w:hint="eastAsia"/>
                <w:b/>
                <w:bCs/>
                <w:sz w:val="20"/>
                <w:szCs w:val="20"/>
                <w:u w:val="single"/>
                <w:lang w:eastAsia="zh-CN"/>
              </w:rPr>
              <w:t>_</w:t>
            </w:r>
            <w:r>
              <w:rPr>
                <w:b/>
                <w:bCs/>
                <w:sz w:val="20"/>
                <w:szCs w:val="20"/>
                <w:u w:val="single"/>
                <w:lang w:val="en-GB" w:eastAsia="zh-CN"/>
              </w:rPr>
              <w:t>RAN1#104-e meeting</w:t>
            </w:r>
            <w:r>
              <w:rPr>
                <w:rFonts w:hint="eastAsia"/>
                <w:b/>
                <w:bCs/>
                <w:sz w:val="20"/>
                <w:szCs w:val="20"/>
                <w:u w:val="single"/>
                <w:lang w:eastAsia="zh-CN"/>
              </w:rPr>
              <w:t>(Rel-17)</w:t>
            </w:r>
          </w:p>
          <w:p>
            <w:pPr>
              <w:widowControl w:val="0"/>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On Rel.17 unified TCI framework:</w:t>
            </w:r>
          </w:p>
          <w:p>
            <w:pPr>
              <w:numPr>
                <w:ilvl w:val="0"/>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Select at least one of the following alternatives by RAN1#104bis-e for path-loss measurement (PL-RS): </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Alt1. PL-RS can be included in UL TCI state or (if applicable) joint TCI state.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FFS: Whether it is always included or not. If not included, PL-RS is the periodic DL-RS used as a source RS for determining spatial TX filter or the PL RS used for the UL RS in UL or (if applicable) joint TCI state.  </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Alt2. PL-RS can be associated with (but not included in) UL TCI state or (if applicable) joint TCI state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FFS: Exact association mechanism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FFS: Whether it is always associated or not. If not associated, PL-RS is the periodic DL-RS used as a source RS for determining spatial TX filter or the PL RS used for the UL RS in UL or (if applicable) joint TCI state</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PL-RS is not additionally configured in or associated to UL TCI state or (if applicable) joint TCI state</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Alt4. UE calculates path-loss based on periodic DL RS configured as the source RS or a periodic QCL-Type-D/spatialRelationInfo source of the source RS in UL TCI state or (if applicable) joint TCI state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FFS: Whether UE can calculate path-loss based on DL periodic RS for path-loss calculation for UL RS in the UL TCI</w:t>
            </w:r>
          </w:p>
          <w:p>
            <w:pPr>
              <w:numPr>
                <w:ilvl w:val="0"/>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FFS: Application time of PL-RS</w:t>
            </w:r>
          </w:p>
          <w:p>
            <w:pPr>
              <w:numPr>
                <w:ilvl w:val="0"/>
                <w:numId w:val="7"/>
              </w:numPr>
              <w:spacing w:after="120" w:line="240" w:lineRule="exact"/>
              <w:ind w:left="726" w:hanging="363"/>
              <w:rPr>
                <w:rFonts w:ascii="Times New Roman" w:hAnsi="Times New Roman"/>
                <w:sz w:val="20"/>
                <w:szCs w:val="20"/>
              </w:rPr>
            </w:pPr>
            <w:r>
              <w:rPr>
                <w:rFonts w:ascii="Times New Roman" w:hAnsi="Times New Roman" w:eastAsia="Batang"/>
                <w:sz w:val="20"/>
                <w:szCs w:val="20"/>
                <w:highlight w:val="yellow"/>
                <w:lang w:val="en-GB"/>
              </w:rPr>
              <w:t xml:space="preserve">NOTE: As in Rel-16, a UE does not expect to simultaneously maintain more than four path-loss estimates per serving cell for all PUSCH/PUCCH/SRS transmissions </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The spec text in TS 38.213-i30 [1] corresponding to agreements mentioned above is copied as follows:</w:t>
      </w:r>
    </w:p>
    <w:tbl>
      <w:tblPr>
        <w:tblStyle w:val="2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3" w:type="dxa"/>
          </w:tcPr>
          <w:p>
            <w:pPr>
              <w:pStyle w:val="2"/>
              <w:numPr>
                <w:ilvl w:val="0"/>
                <w:numId w:val="0"/>
              </w:numPr>
              <w:tabs>
                <w:tab w:val="left" w:pos="1134"/>
              </w:tabs>
              <w:spacing w:before="180" w:beforeLines="50" w:after="120" w:line="240" w:lineRule="exact"/>
              <w:jc w:val="both"/>
              <w:rPr>
                <w:rFonts w:ascii="Times New Roman" w:hAnsi="Times New Roman"/>
                <w:sz w:val="22"/>
                <w:szCs w:val="22"/>
                <w:lang w:val="en-US"/>
              </w:rPr>
            </w:pPr>
            <w:bookmarkStart w:id="10" w:name="_Toc12021444"/>
            <w:bookmarkStart w:id="11" w:name="_Toc45699166"/>
            <w:bookmarkStart w:id="12" w:name="_Toc29917266"/>
            <w:bookmarkStart w:id="13" w:name="_Toc29894812"/>
            <w:bookmarkStart w:id="14" w:name="_Toc20311556"/>
            <w:bookmarkStart w:id="15" w:name="_Toc29899529"/>
            <w:bookmarkStart w:id="16" w:name="_Toc161999091"/>
            <w:bookmarkStart w:id="17" w:name="_Toc36498140"/>
            <w:bookmarkStart w:id="18" w:name="_Toc26719381"/>
            <w:bookmarkStart w:id="19" w:name="_Toc29899111"/>
            <w:r>
              <w:rPr>
                <w:rFonts w:ascii="Times New Roman" w:hAnsi="Times New Roman"/>
                <w:sz w:val="22"/>
                <w:szCs w:val="22"/>
                <w:lang w:val="en-US"/>
              </w:rPr>
              <w:t>7</w:t>
            </w:r>
            <w:r>
              <w:rPr>
                <w:rFonts w:hint="eastAsia" w:ascii="Times New Roman" w:hAnsi="Times New Roman"/>
                <w:sz w:val="22"/>
                <w:szCs w:val="22"/>
                <w:lang w:val="en-US"/>
              </w:rPr>
              <w:t xml:space="preserve"> </w:t>
            </w:r>
            <w:r>
              <w:rPr>
                <w:rFonts w:ascii="Times New Roman" w:hAnsi="Times New Roman"/>
                <w:sz w:val="22"/>
                <w:szCs w:val="22"/>
                <w:lang w:val="en-US"/>
              </w:rPr>
              <w:t>Uplink Power control</w:t>
            </w:r>
            <w:bookmarkEnd w:id="10"/>
            <w:bookmarkEnd w:id="11"/>
            <w:bookmarkEnd w:id="12"/>
            <w:bookmarkEnd w:id="13"/>
            <w:bookmarkEnd w:id="14"/>
            <w:bookmarkEnd w:id="15"/>
            <w:bookmarkEnd w:id="16"/>
            <w:bookmarkEnd w:id="17"/>
            <w:bookmarkEnd w:id="18"/>
            <w:bookmarkEnd w:id="19"/>
          </w:p>
          <w:p>
            <w:pPr>
              <w:spacing w:after="120" w:line="240" w:lineRule="exact"/>
              <w:jc w:val="both"/>
              <w:rPr>
                <w:rFonts w:ascii="Times New Roman" w:hAnsi="Times New Roman"/>
                <w:sz w:val="20"/>
                <w:szCs w:val="20"/>
              </w:rPr>
            </w:pPr>
            <w:r>
              <w:rPr>
                <w:rFonts w:ascii="Times New Roman" w:hAnsi="Times New Roman"/>
                <w:sz w:val="20"/>
                <w:szCs w:val="20"/>
              </w:rPr>
              <w:t xml:space="preserve">Uplink power control determines a power for PUSCH, PUCCH, SRS, and PRACH transmissions. </w:t>
            </w:r>
          </w:p>
          <w:p>
            <w:pPr>
              <w:spacing w:after="120" w:line="240" w:lineRule="exact"/>
              <w:jc w:val="both"/>
              <w:rPr>
                <w:rFonts w:ascii="Times New Roman" w:hAnsi="Times New Roman"/>
                <w:sz w:val="20"/>
                <w:szCs w:val="20"/>
              </w:rPr>
            </w:pPr>
            <w:r>
              <w:rPr>
                <w:rFonts w:ascii="Times New Roman" w:hAnsi="Times New Roman"/>
                <w:iCs/>
                <w:sz w:val="20"/>
                <w:szCs w:val="20"/>
                <w:highlight w:val="yellow"/>
              </w:rPr>
              <w:t>A UE does not expect to simultaneously maintain more than four pathloss estimates per serving cell for all PUSCH/PUCCH/SRS transmissions as described in clauses 7.1.1, 7.2.1, and 7.3.1</w:t>
            </w:r>
            <w:r>
              <w:rPr>
                <w:rFonts w:ascii="Times New Roman" w:hAnsi="Times New Roman"/>
                <w:iCs/>
                <w:sz w:val="20"/>
                <w:szCs w:val="20"/>
              </w:rPr>
              <w:t xml:space="preserve">, </w:t>
            </w:r>
            <w:r>
              <w:rPr>
                <w:rFonts w:ascii="Times New Roman" w:hAnsi="Times New Roman"/>
                <w:sz w:val="20"/>
                <w:szCs w:val="20"/>
              </w:rPr>
              <w:t xml:space="preserve">except for SRS transmissions configured by </w:t>
            </w:r>
            <w:r>
              <w:rPr>
                <w:rFonts w:ascii="Times New Roman" w:hAnsi="Times New Roman"/>
                <w:i/>
                <w:sz w:val="20"/>
                <w:szCs w:val="20"/>
              </w:rPr>
              <w:t>SRS-PosResourceSet</w:t>
            </w:r>
            <w:r>
              <w:rPr>
                <w:rFonts w:ascii="Times New Roman" w:hAnsi="Times New Roman"/>
                <w:sz w:val="20"/>
                <w:szCs w:val="20"/>
              </w:rPr>
              <w:t xml:space="preserve"> as described in clause 7.3.1</w:t>
            </w:r>
            <w:r>
              <w:rPr>
                <w:rFonts w:ascii="Times New Roman" w:hAnsi="Times New Roman"/>
                <w:iCs/>
                <w:sz w:val="20"/>
                <w:szCs w:val="20"/>
              </w:rPr>
              <w:t xml:space="preserve">. </w:t>
            </w:r>
            <w:r>
              <w:rPr>
                <w:rFonts w:ascii="Times New Roman" w:hAnsi="Times New Roman"/>
                <w:iCs/>
                <w:sz w:val="20"/>
                <w:szCs w:val="20"/>
                <w:highlight w:val="yellow"/>
              </w:rPr>
              <w:t xml:space="preserve">If the UE is provided a number of RS resources for pathloss estimation for PUSCH/PUCCH/SRS transmissions that is larger than 4, the UE maintains for pathloss estimation RS resources corresponding to </w:t>
            </w:r>
            <w:r>
              <w:rPr>
                <w:rFonts w:ascii="Times New Roman" w:hAnsi="Times New Roman" w:eastAsia="MS Mincho"/>
                <w:sz w:val="20"/>
                <w:szCs w:val="20"/>
                <w:highlight w:val="yellow"/>
              </w:rPr>
              <w:t xml:space="preserve">RS resource indexes </w:t>
            </w:r>
            <m:oMath>
              <m:sSub>
                <m:sSubPr>
                  <m:ctrlPr>
                    <w:rPr>
                      <w:rFonts w:ascii="Cambria Math" w:hAnsi="Cambria Math" w:eastAsia="MS Mincho"/>
                      <w:i/>
                      <w:sz w:val="20"/>
                      <w:szCs w:val="20"/>
                      <w:highlight w:val="yellow"/>
                    </w:rPr>
                  </m:ctrlPr>
                </m:sSubPr>
                <m:e>
                  <m:r>
                    <m:rPr/>
                    <w:rPr>
                      <w:rFonts w:ascii="Cambria Math" w:hAnsi="Cambria Math" w:eastAsia="MS Mincho"/>
                      <w:sz w:val="20"/>
                      <w:szCs w:val="20"/>
                      <w:highlight w:val="yellow"/>
                    </w:rPr>
                    <m:t>q</m:t>
                  </m:r>
                  <m:ctrlPr>
                    <w:rPr>
                      <w:rFonts w:ascii="Cambria Math" w:hAnsi="Cambria Math" w:eastAsia="MS Mincho"/>
                      <w:i/>
                      <w:sz w:val="20"/>
                      <w:szCs w:val="20"/>
                      <w:highlight w:val="yellow"/>
                    </w:rPr>
                  </m:ctrlPr>
                </m:e>
                <m:sub>
                  <m:r>
                    <m:rPr/>
                    <w:rPr>
                      <w:rFonts w:ascii="Cambria Math" w:hAnsi="Cambria Math" w:eastAsia="MS Mincho"/>
                      <w:sz w:val="20"/>
                      <w:szCs w:val="20"/>
                      <w:highlight w:val="yellow"/>
                    </w:rPr>
                    <m:t>d</m:t>
                  </m:r>
                  <m:ctrlPr>
                    <w:rPr>
                      <w:rFonts w:ascii="Cambria Math" w:hAnsi="Cambria Math" w:eastAsia="MS Mincho"/>
                      <w:i/>
                      <w:sz w:val="20"/>
                      <w:szCs w:val="20"/>
                      <w:highlight w:val="yellow"/>
                    </w:rPr>
                  </m:ctrlPr>
                </m:sub>
              </m:sSub>
            </m:oMath>
            <w:r>
              <w:rPr>
                <w:rFonts w:ascii="Times New Roman" w:hAnsi="Times New Roman"/>
                <w:iCs/>
                <w:sz w:val="20"/>
                <w:szCs w:val="20"/>
                <w:highlight w:val="yellow"/>
              </w:rPr>
              <w:t xml:space="preserve"> as described in clauses 7.1.1, 7.2.1, and 7.3.1</w:t>
            </w:r>
            <w:r>
              <w:rPr>
                <w:rFonts w:ascii="Times New Roman" w:hAnsi="Times New Roman"/>
                <w:iCs/>
                <w:sz w:val="20"/>
                <w:szCs w:val="20"/>
              </w:rPr>
              <w:t>.</w:t>
            </w:r>
            <w:r>
              <w:rPr>
                <w:rFonts w:ascii="Times New Roman" w:hAnsi="Times New Roman"/>
                <w:sz w:val="20"/>
                <w:szCs w:val="20"/>
              </w:rPr>
              <w:t xml:space="preserve"> </w:t>
            </w:r>
            <w:r>
              <w:rPr>
                <w:rFonts w:ascii="Times New Roman" w:hAnsi="Times New Roman"/>
                <w:iCs/>
                <w:sz w:val="20"/>
                <w:szCs w:val="20"/>
              </w:rPr>
              <w:t>If an RS resource updated by MAC CE, as described in clauses 7.1.1, 7.2.1 and 7.3.1, is one from the RS resources the UE maintains for pathloss estimation for PUSCH/PUCCH/SRS transmissions</w:t>
            </w:r>
            <w:r>
              <w:rPr>
                <w:rFonts w:ascii="Times New Roman" w:hAnsi="Times New Roman"/>
                <w:sz w:val="20"/>
                <w:szCs w:val="20"/>
                <w:lang w:eastAsia="ko-KR"/>
              </w:rPr>
              <w:t xml:space="preserve">, the UE applies the pathloss estimation based on </w:t>
            </w:r>
            <w:r>
              <w:rPr>
                <w:rFonts w:ascii="Times New Roman" w:hAnsi="Times New Roman"/>
                <w:sz w:val="20"/>
                <w:szCs w:val="20"/>
              </w:rPr>
              <w:t xml:space="preserve">the RS resources starting from the first slot that is after slot </w:t>
            </w:r>
            <m:oMath>
              <m:r>
                <m:rPr/>
                <w:rPr>
                  <w:rFonts w:ascii="Cambria Math" w:hAnsi="Cambria Math"/>
                  <w:sz w:val="20"/>
                  <w:szCs w:val="20"/>
                </w:rPr>
                <m:t>k</m:t>
              </m:r>
              <m:r>
                <m:rPr>
                  <m:sty m:val="p"/>
                </m:rPr>
                <w:rPr>
                  <w:rFonts w:ascii="Cambria Math" w:hAnsi="Cambria Math"/>
                  <w:sz w:val="20"/>
                  <w:szCs w:val="20"/>
                </w:rPr>
                <m:t>+3∙</m:t>
              </m:r>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slot</m:t>
                  </m:r>
                  <m:ctrlPr>
                    <w:rPr>
                      <w:rFonts w:ascii="Cambria Math" w:hAnsi="Cambria Math"/>
                      <w:sz w:val="20"/>
                      <w:szCs w:val="20"/>
                    </w:rPr>
                  </m:ctrlPr>
                </m:sub>
                <m:sup>
                  <m:r>
                    <m:rPr>
                      <m:sty m:val="p"/>
                    </m:rPr>
                    <w:rPr>
                      <w:rFonts w:ascii="Cambria Math" w:hAnsi="Cambria Math"/>
                      <w:sz w:val="20"/>
                      <w:szCs w:val="20"/>
                    </w:rPr>
                    <m:t xml:space="preserve">subframe,  </m:t>
                  </m:r>
                  <m:r>
                    <m:rPr/>
                    <w:rPr>
                      <w:rFonts w:ascii="Cambria Math" w:hAnsi="Cambria Math"/>
                      <w:sz w:val="20"/>
                      <w:szCs w:val="20"/>
                    </w:rPr>
                    <m:t>μ</m:t>
                  </m:r>
                  <m:ctrlPr>
                    <w:rPr>
                      <w:rFonts w:ascii="Cambria Math" w:hAnsi="Cambria Math"/>
                      <w:sz w:val="20"/>
                      <w:szCs w:val="20"/>
                    </w:rPr>
                  </m:ctrlPr>
                </m:sup>
              </m:sSubSup>
              <m:r>
                <m:rPr/>
                <w:rPr>
                  <w:rFonts w:ascii="Cambria Math" w:hAnsi="Cambria Math"/>
                  <w:sz w:val="20"/>
                  <w:szCs w:val="20"/>
                </w:rPr>
                <m:t>+</m:t>
              </m:r>
              <m:sSub>
                <m:sSubPr>
                  <m:ctrlPr>
                    <w:rPr>
                      <w:rFonts w:ascii="Cambria Math" w:hAnsi="Cambria Math"/>
                      <w:i/>
                      <w:sz w:val="20"/>
                      <w:szCs w:val="20"/>
                    </w:rPr>
                  </m:ctrlPr>
                </m:sSubPr>
                <m:e>
                  <m:sSup>
                    <m:sSupPr>
                      <m:ctrlPr>
                        <w:rPr>
                          <w:rFonts w:ascii="Cambria Math" w:hAnsi="Cambria Math" w:eastAsia="MS Mincho"/>
                          <w:i/>
                          <w:kern w:val="2"/>
                          <w:sz w:val="20"/>
                          <w:szCs w:val="20"/>
                        </w:rPr>
                      </m:ctrlPr>
                    </m:sSupPr>
                    <m:e>
                      <m:r>
                        <m:rPr/>
                        <w:rPr>
                          <w:rFonts w:ascii="Cambria Math" w:hAnsi="Cambria Math" w:eastAsia="MS Mincho"/>
                          <w:kern w:val="2"/>
                          <w:sz w:val="20"/>
                          <w:szCs w:val="20"/>
                        </w:rPr>
                        <m:t>2</m:t>
                      </m:r>
                      <m:ctrlPr>
                        <w:rPr>
                          <w:rFonts w:ascii="Cambria Math" w:hAnsi="Cambria Math" w:eastAsia="MS Mincho"/>
                          <w:i/>
                          <w:kern w:val="2"/>
                          <w:sz w:val="20"/>
                          <w:szCs w:val="20"/>
                        </w:rPr>
                      </m:ctrlPr>
                    </m:e>
                    <m:sup>
                      <m:r>
                        <m:rPr/>
                        <w:rPr>
                          <w:rFonts w:ascii="Cambria Math" w:hAnsi="Cambria Math" w:eastAsia="MS Mincho"/>
                          <w:kern w:val="2"/>
                          <w:sz w:val="20"/>
                          <w:szCs w:val="20"/>
                        </w:rPr>
                        <m:t>μ</m:t>
                      </m:r>
                      <m:ctrlPr>
                        <w:rPr>
                          <w:rFonts w:ascii="Cambria Math" w:hAnsi="Cambria Math" w:eastAsia="MS Mincho"/>
                          <w:i/>
                          <w:kern w:val="2"/>
                          <w:sz w:val="20"/>
                          <w:szCs w:val="20"/>
                        </w:rPr>
                      </m:ctrlPr>
                    </m:sup>
                  </m:sSup>
                  <m:r>
                    <m:rPr/>
                    <w:rPr>
                      <w:rFonts w:ascii="Cambria Math" w:hAnsi="Cambria Math" w:eastAsia="MS Mincho"/>
                      <w:kern w:val="2"/>
                      <w:sz w:val="20"/>
                      <w:szCs w:val="20"/>
                    </w:rPr>
                    <m:t>∙</m:t>
                  </m:r>
                  <m:r>
                    <m:rPr/>
                    <w:rPr>
                      <w:rFonts w:ascii="Cambria Math" w:hAnsi="Cambria Math"/>
                      <w:sz w:val="20"/>
                      <w:szCs w:val="20"/>
                    </w:rPr>
                    <m:t>k</m:t>
                  </m:r>
                  <m:ctrlPr>
                    <w:rPr>
                      <w:rFonts w:ascii="Cambria Math" w:hAnsi="Cambria Math"/>
                      <w:i/>
                      <w:sz w:val="20"/>
                      <w:szCs w:val="20"/>
                    </w:rPr>
                  </m:ctrlPr>
                </m:e>
                <m:sub>
                  <m:r>
                    <m:rPr>
                      <m:sty m:val="p"/>
                    </m:rPr>
                    <w:rPr>
                      <w:rFonts w:ascii="Cambria Math" w:hAnsi="Cambria Math"/>
                      <w:sz w:val="20"/>
                      <w:szCs w:val="20"/>
                    </w:rPr>
                    <m:t>mac</m:t>
                  </m:r>
                  <m:ctrlPr>
                    <w:rPr>
                      <w:rFonts w:ascii="Cambria Math" w:hAnsi="Cambria Math"/>
                      <w:i/>
                      <w:sz w:val="20"/>
                      <w:szCs w:val="20"/>
                    </w:rPr>
                  </m:ctrlPr>
                </m:sub>
              </m:sSub>
            </m:oMath>
            <w:r>
              <w:rPr>
                <w:rFonts w:ascii="Times New Roman" w:hAnsi="Times New Roman"/>
                <w:sz w:val="20"/>
                <w:szCs w:val="20"/>
              </w:rPr>
              <w:t xml:space="preserve"> where </w:t>
            </w:r>
            <m:oMath>
              <m:r>
                <m:rPr/>
                <w:rPr>
                  <w:rFonts w:ascii="Cambria Math" w:hAnsi="Cambria Math"/>
                  <w:sz w:val="20"/>
                  <w:szCs w:val="20"/>
                </w:rPr>
                <m:t>k</m:t>
              </m:r>
            </m:oMath>
            <w:r>
              <w:rPr>
                <w:rFonts w:ascii="Times New Roman" w:hAnsi="Times New Roman"/>
                <w:sz w:val="20"/>
                <w:szCs w:val="20"/>
                <w:lang w:eastAsia="ko-KR"/>
              </w:rPr>
              <w:t xml:space="preserve"> </w:t>
            </w:r>
            <w:r>
              <w:rPr>
                <w:rFonts w:ascii="Times New Roman" w:hAnsi="Times New Roman"/>
                <w:sz w:val="20"/>
                <w:szCs w:val="20"/>
              </w:rPr>
              <w:t xml:space="preserve">is the slot where the UE would transmit a PUCCH or PUSCH with HARQ-ACK information for the PDSCH providing the MAC CE, </w:t>
            </w:r>
            <m:oMath>
              <m:r>
                <m:rPr/>
                <w:rPr>
                  <w:rFonts w:ascii="Cambria Math" w:hAnsi="Cambria Math"/>
                  <w:sz w:val="20"/>
                  <w:szCs w:val="20"/>
                </w:rPr>
                <m:t xml:space="preserve">μ  </m:t>
              </m:r>
            </m:oMath>
            <w:r>
              <w:rPr>
                <w:rFonts w:ascii="Times New Roman" w:hAnsi="Times New Roman"/>
                <w:sz w:val="20"/>
                <w:szCs w:val="20"/>
              </w:rPr>
              <w:t xml:space="preserve">is the SCS configuration for the PUCCH or PUSCH, respectively, that is determined in the slot when the MAC CE command is applied and </w:t>
            </w:r>
            <m:oMath>
              <m:sSub>
                <m:sSubPr>
                  <m:ctrlPr>
                    <w:rPr>
                      <w:rFonts w:ascii="Cambria Math" w:hAnsi="Cambria Math"/>
                      <w:i/>
                      <w:sz w:val="20"/>
                      <w:szCs w:val="20"/>
                    </w:rPr>
                  </m:ctrlPr>
                </m:sSubPr>
                <m:e>
                  <m:r>
                    <m:rPr/>
                    <w:rPr>
                      <w:rFonts w:ascii="Cambria Math" w:hAnsi="Cambria Math"/>
                      <w:sz w:val="20"/>
                      <w:szCs w:val="20"/>
                    </w:rPr>
                    <m:t>k</m:t>
                  </m:r>
                  <m:ctrlPr>
                    <w:rPr>
                      <w:rFonts w:ascii="Cambria Math" w:hAnsi="Cambria Math"/>
                      <w:i/>
                      <w:sz w:val="20"/>
                      <w:szCs w:val="20"/>
                    </w:rPr>
                  </m:ctrlPr>
                </m:e>
                <m:sub>
                  <m:r>
                    <m:rPr>
                      <m:sty m:val="p"/>
                    </m:rPr>
                    <w:rPr>
                      <w:rFonts w:ascii="Cambria Math" w:hAnsi="Cambria Math"/>
                      <w:sz w:val="20"/>
                      <w:szCs w:val="20"/>
                    </w:rPr>
                    <m:t>mac</m:t>
                  </m:r>
                  <m:ctrlPr>
                    <w:rPr>
                      <w:rFonts w:ascii="Cambria Math" w:hAnsi="Cambria Math"/>
                      <w:i/>
                      <w:sz w:val="20"/>
                      <w:szCs w:val="20"/>
                    </w:rPr>
                  </m:ctrlPr>
                </m:sub>
              </m:sSub>
            </m:oMath>
            <w:r>
              <w:rPr>
                <w:rFonts w:ascii="Times New Roman" w:hAnsi="Times New Roman"/>
                <w:sz w:val="20"/>
                <w:szCs w:val="20"/>
              </w:rPr>
              <w:t xml:space="preserve"> is a number of slots for SCS configuration </w:t>
            </w:r>
            <m:oMath>
              <m:r>
                <m:rPr/>
                <w:rPr>
                  <w:rFonts w:ascii="Cambria Math" w:hAnsi="Cambria Math" w:eastAsia="MS Mincho"/>
                  <w:kern w:val="2"/>
                  <w:sz w:val="20"/>
                  <w:szCs w:val="20"/>
                </w:rPr>
                <m:t>μ</m:t>
              </m:r>
              <m:r>
                <m:rPr/>
                <w:rPr>
                  <w:rFonts w:ascii="Cambria Math" w:hAnsi="Cambria Math"/>
                  <w:kern w:val="2"/>
                  <w:sz w:val="20"/>
                  <w:szCs w:val="20"/>
                </w:rPr>
                <m:t>=0</m:t>
              </m:r>
            </m:oMath>
            <w:r>
              <w:rPr>
                <w:rFonts w:ascii="Times New Roman" w:hAnsi="Times New Roman"/>
                <w:sz w:val="20"/>
                <w:szCs w:val="20"/>
              </w:rPr>
              <w:t xml:space="preserve"> provided by </w:t>
            </w:r>
            <w:r>
              <w:rPr>
                <w:rFonts w:ascii="Times New Roman" w:hAnsi="Times New Roman"/>
                <w:i/>
                <w:iCs/>
                <w:sz w:val="20"/>
                <w:szCs w:val="20"/>
              </w:rPr>
              <w:t>kmac</w:t>
            </w:r>
            <w:r>
              <w:rPr>
                <w:rFonts w:ascii="Times New Roman" w:hAnsi="Times New Roman"/>
                <w:sz w:val="20"/>
                <w:szCs w:val="20"/>
              </w:rPr>
              <w:t xml:space="preserve"> or </w:t>
            </w:r>
            <m:oMath>
              <m:sSub>
                <m:sSubPr>
                  <m:ctrlPr>
                    <w:rPr>
                      <w:rFonts w:ascii="Cambria Math" w:hAnsi="Cambria Math"/>
                      <w:i/>
                      <w:sz w:val="20"/>
                      <w:szCs w:val="20"/>
                    </w:rPr>
                  </m:ctrlPr>
                </m:sSubPr>
                <m:e>
                  <m:r>
                    <m:rPr/>
                    <w:rPr>
                      <w:rFonts w:ascii="Cambria Math" w:hAnsi="Cambria Math"/>
                      <w:sz w:val="20"/>
                      <w:szCs w:val="20"/>
                    </w:rPr>
                    <m:t>k</m:t>
                  </m:r>
                  <m:ctrlPr>
                    <w:rPr>
                      <w:rFonts w:ascii="Cambria Math" w:hAnsi="Cambria Math"/>
                      <w:i/>
                      <w:sz w:val="20"/>
                      <w:szCs w:val="20"/>
                    </w:rPr>
                  </m:ctrlPr>
                </m:e>
                <m:sub>
                  <m:r>
                    <m:rPr>
                      <m:sty m:val="p"/>
                    </m:rPr>
                    <w:rPr>
                      <w:rFonts w:ascii="Cambria Math" w:hAnsi="Cambria Math"/>
                      <w:sz w:val="20"/>
                      <w:szCs w:val="20"/>
                    </w:rPr>
                    <m:t>mac</m:t>
                  </m:r>
                  <m:ctrlPr>
                    <w:rPr>
                      <w:rFonts w:ascii="Cambria Math" w:hAnsi="Cambria Math"/>
                      <w:i/>
                      <w:sz w:val="20"/>
                      <w:szCs w:val="20"/>
                    </w:rPr>
                  </m:ctrlPr>
                </m:sub>
              </m:sSub>
              <m:r>
                <m:rPr/>
                <w:rPr>
                  <w:rFonts w:ascii="Cambria Math" w:hAnsi="Cambria Math"/>
                  <w:sz w:val="20"/>
                  <w:szCs w:val="20"/>
                </w:rPr>
                <m:t>=0</m:t>
              </m:r>
            </m:oMath>
            <w:r>
              <w:rPr>
                <w:rFonts w:ascii="Times New Roman" w:hAnsi="Times New Roman"/>
                <w:sz w:val="20"/>
                <w:szCs w:val="20"/>
              </w:rPr>
              <w:t xml:space="preserve"> if </w:t>
            </w:r>
            <w:r>
              <w:rPr>
                <w:rFonts w:ascii="Times New Roman" w:hAnsi="Times New Roman"/>
                <w:i/>
                <w:iCs/>
                <w:sz w:val="20"/>
                <w:szCs w:val="20"/>
              </w:rPr>
              <w:t>kmac</w:t>
            </w:r>
            <w:r>
              <w:rPr>
                <w:rFonts w:ascii="Times New Roman" w:hAnsi="Times New Roman"/>
                <w:sz w:val="20"/>
                <w:szCs w:val="20"/>
              </w:rPr>
              <w:t xml:space="preserve"> is not provided</w:t>
            </w:r>
            <w:r>
              <w:rPr>
                <w:rFonts w:ascii="Times New Roman" w:hAnsi="Times New Roman"/>
                <w:i/>
                <w:sz w:val="20"/>
                <w:szCs w:val="20"/>
              </w:rPr>
              <w: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Further, it has agreed that beam indication for Rel-18 LTM is designed based on Rel-17 unified TCI framework and a MAC CE can activate up to 8 joint candidate TCI states or 8 pairs of DL and UL candidate TCI states for a candidate cell where each joint candidate TCI state or UL candidate TCI state is configured with one PL RS to be used for pathloss estimation for UL transmission after cell switching. But it is still not clear that how many PL RSs at most should be maintained simultaneously for the UE before reception of LTM Cell Switch MAC CE and whether they still need to be maintained after reception of LTM Cell Switch Command MAC CE.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first issue, if similar rule as in Rel-17 is directly reused for Rel-18 LTM, e.g., at most 4 different PL RSs from activated candidate TCI states per candidate cell are maintained simultaneously by UE, it will bring certain challenges to the processing capacity and energy consumption at UE side since the maximum number of configurable candidate cell is equal to 8 and at most 4 different PL RSs maintained simultaneously per candidate cell. With the above consideration, we tend to define a maximum number of PL RSs maintained simultaneously across candidate cells before reception of LTM Cell Switch Command MAC CE, e.g., at most X different PL RSs from activated candidate TCI states across candidate cells can be maintained simultaneously by UE, where X = 8 can be considered as a starting point to guarantee at least one PL RS for each candidate cell.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second issue, considering that one joint candidate TCI state or UL candidate TCI state is always indicated in LTM Cell Switch Command MAC CE, after reception of LTM Cell Switch Command MAC CE, it is unnecessary for UE to continue maintaining all PL RSs that are from activated candidate TCI states across candidate cells before the LTM Cell Switch Command MAC CE. To be specific, UE stops maintaining all PL RSs from activated candidate TCI states across candidate cells except for one PL RS in the indicated candidate TCI state for target cell after reception of LTM Cell Switch Command MAC CE, or UE only needs to maintain one PL RS provided in the indicated joint candidate TCI state or UL candidate TCI state used for pathloss estimation for UL transmission of target cell after reception of LTM Cell Switch Command MAC CE and before reception of a signaling for TCI state activation/deactivation/indication for serving cell, where the signaling can be MAC CE or DCI.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he corresponding CR can be found in our companion paper [</w:t>
      </w:r>
      <w:r>
        <w:rPr>
          <w:rFonts w:hint="eastAsia" w:ascii="Times New Roman" w:hAnsi="Times New Roman"/>
          <w:sz w:val="20"/>
          <w:szCs w:val="20"/>
        </w:rPr>
        <w:t>2</w:t>
      </w:r>
      <w:r>
        <w:rPr>
          <w:rFonts w:ascii="Times New Roman" w:hAnsi="Times New Roman"/>
          <w:sz w:val="20"/>
          <w:szCs w:val="20"/>
        </w:rPr>
        <w:t>]</w:t>
      </w:r>
      <w:r>
        <w:rPr>
          <w:rFonts w:hint="eastAsia" w:ascii="Times New Roman" w:hAnsi="Times New Roman"/>
          <w:sz w:val="20"/>
          <w:szCs w:val="20"/>
        </w:rPr>
        <w:t xml:space="preserve">.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Before reception of LTM Cell Switch Command MAC CE, the maximum number of PL RSs that the UE can maintain simultaneously from the activated candidate TCI states across candidate cells should be defined, e.g., at most</w:t>
      </w:r>
      <w:r>
        <w:rPr>
          <w:rFonts w:ascii="Times New Roman" w:hAnsi="Times New Roman"/>
          <w:i/>
          <w:sz w:val="20"/>
          <w:szCs w:val="20"/>
        </w:rPr>
        <w:t xml:space="preserve"> </w:t>
      </w:r>
      <w:r>
        <w:rPr>
          <w:rFonts w:hint="eastAsia" w:ascii="Times New Roman" w:hAnsi="Times New Roman"/>
          <w:i/>
          <w:sz w:val="20"/>
          <w:szCs w:val="20"/>
        </w:rPr>
        <w:t>X different PL RSs from activated candidate TCI states across candidate cells are maintained simultaneously by UE.</w:t>
      </w:r>
    </w:p>
    <w:p>
      <w:pPr>
        <w:pStyle w:val="101"/>
        <w:numPr>
          <w:ilvl w:val="0"/>
          <w:numId w:val="8"/>
        </w:numPr>
        <w:snapToGrid w:val="0"/>
        <w:spacing w:before="120" w:after="60" w:line="288" w:lineRule="auto"/>
        <w:ind w:left="840" w:hanging="420" w:firstLineChars="0"/>
        <w:jc w:val="both"/>
        <w:rPr>
          <w:rFonts w:ascii="Times New Roman" w:hAnsi="Times New Roman"/>
          <w:i/>
          <w:sz w:val="20"/>
          <w:szCs w:val="20"/>
        </w:rPr>
      </w:pPr>
      <w:r>
        <w:rPr>
          <w:rFonts w:ascii="Times New Roman" w:hAnsi="Times New Roman"/>
          <w:i/>
          <w:sz w:val="20"/>
          <w:szCs w:val="20"/>
        </w:rPr>
        <w:t>In order to guarantee that there is at least one PL-RS for each c</w:t>
      </w:r>
      <w:r>
        <w:rPr>
          <w:rFonts w:hint="eastAsia" w:ascii="Times New Roman" w:hAnsi="Times New Roman"/>
          <w:i/>
          <w:sz w:val="20"/>
          <w:szCs w:val="20"/>
        </w:rPr>
        <w:t xml:space="preserve">andidate cell, </w:t>
      </w:r>
      <w:r>
        <w:rPr>
          <w:rFonts w:ascii="Times New Roman" w:hAnsi="Times New Roman"/>
          <w:i/>
          <w:sz w:val="20"/>
          <w:szCs w:val="20"/>
        </w:rPr>
        <w:t>X = 8 can be considered as a starting point.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After reception of LTM Cell Switch Command MAC CE and before reception of a signaling for TCI state activation/deactivation/indication for serving cell, UE stops maintaining all PL RSs from the activated candidate TCI states across candidate cells except for one PL RS provided in the indicated candidate TCI state for target cell in LTM Cell Switch Command MAC CE.</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20" w:name="OLE_LINK10"/>
      <w:bookmarkStart w:id="21"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how many PL RSs should be maintained simultaneously before LTM Cell Switch Command MAC CE and whether they still need to be maintained after reception of LTM Cell Switch Command MAC CE</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are</w:t>
      </w:r>
      <w:r>
        <w:rPr>
          <w:rFonts w:ascii="Times New Roman" w:hAnsi="Times New Roman"/>
          <w:sz w:val="20"/>
          <w:szCs w:val="20"/>
          <w:lang w:val="en-GB"/>
        </w:rPr>
        <w:t xml:space="preserve"> provided as below:</w:t>
      </w:r>
    </w:p>
    <w:bookmarkEnd w:id="20"/>
    <w:bookmarkEnd w:id="21"/>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Before reception of LTM Cell Switch Command MAC CE, the maximum number of PL RSs that the UE can maintain simultaneously from the activated candidate TCI states across candidate cells should be defined, e.g., at most</w:t>
      </w:r>
      <w:r>
        <w:rPr>
          <w:rFonts w:ascii="Times New Roman" w:hAnsi="Times New Roman"/>
          <w:i/>
          <w:sz w:val="20"/>
          <w:szCs w:val="20"/>
        </w:rPr>
        <w:t xml:space="preserve"> </w:t>
      </w:r>
      <w:r>
        <w:rPr>
          <w:rFonts w:hint="eastAsia" w:ascii="Times New Roman" w:hAnsi="Times New Roman"/>
          <w:i/>
          <w:sz w:val="20"/>
          <w:szCs w:val="20"/>
        </w:rPr>
        <w:t>X different PL RSs from activated candidate TCI states across candidate cells are maintained simultaneously by UE.</w:t>
      </w:r>
    </w:p>
    <w:p>
      <w:pPr>
        <w:pStyle w:val="101"/>
        <w:numPr>
          <w:ilvl w:val="0"/>
          <w:numId w:val="8"/>
        </w:numPr>
        <w:snapToGrid w:val="0"/>
        <w:spacing w:before="120" w:after="60" w:line="288" w:lineRule="auto"/>
        <w:ind w:left="840" w:firstLineChars="0"/>
        <w:jc w:val="both"/>
        <w:rPr>
          <w:rFonts w:ascii="Times New Roman" w:hAnsi="Times New Roman"/>
          <w:i/>
          <w:sz w:val="20"/>
          <w:szCs w:val="20"/>
        </w:rPr>
      </w:pPr>
      <w:r>
        <w:rPr>
          <w:rFonts w:ascii="Times New Roman" w:hAnsi="Times New Roman"/>
          <w:i/>
          <w:sz w:val="20"/>
          <w:szCs w:val="20"/>
        </w:rPr>
        <w:t>In order to guarantee that there is at least one PL-RS for each c</w:t>
      </w:r>
      <w:r>
        <w:rPr>
          <w:rFonts w:hint="eastAsia" w:ascii="Times New Roman" w:hAnsi="Times New Roman"/>
          <w:i/>
          <w:sz w:val="20"/>
          <w:szCs w:val="20"/>
        </w:rPr>
        <w:t xml:space="preserve">andidate cell, </w:t>
      </w:r>
      <w:r>
        <w:rPr>
          <w:rFonts w:ascii="Times New Roman" w:hAnsi="Times New Roman"/>
          <w:i/>
          <w:sz w:val="20"/>
          <w:szCs w:val="20"/>
        </w:rPr>
        <w:t>X = 8 can be considered as a starting point.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After reception of LTM Cell Switch Command MAC CE and before reception of a signaling for TCI state activation/deactivation/indication for serving cell, UE stops maintaining all PL RSs from the activated candidate TCI states across candidate cells</w:t>
      </w:r>
      <w:bookmarkStart w:id="22" w:name="_GoBack"/>
      <w:bookmarkEnd w:id="22"/>
      <w:r>
        <w:rPr>
          <w:rFonts w:hint="eastAsia" w:ascii="Times New Roman" w:hAnsi="Times New Roman"/>
          <w:i/>
          <w:sz w:val="20"/>
          <w:szCs w:val="20"/>
        </w:rPr>
        <w:t xml:space="preserve"> except for one PL RS provided in the indicated candidate TCI state for target cell in LTM Cell Switch Command MAC CE.</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9"/>
        </w:numPr>
        <w:snapToGrid w:val="0"/>
        <w:spacing w:after="40" w:line="240" w:lineRule="exact"/>
        <w:jc w:val="both"/>
        <w:rPr>
          <w:bCs/>
          <w:sz w:val="20"/>
          <w:szCs w:val="20"/>
        </w:rPr>
      </w:pPr>
      <w:r>
        <w:rPr>
          <w:bCs/>
          <w:sz w:val="20"/>
          <w:szCs w:val="20"/>
        </w:rPr>
        <w:t>TS 38.</w:t>
      </w:r>
      <w:r>
        <w:rPr>
          <w:rFonts w:hint="eastAsia"/>
          <w:bCs/>
          <w:sz w:val="20"/>
          <w:szCs w:val="20"/>
        </w:rPr>
        <w:t>213-i30</w:t>
      </w:r>
      <w:r>
        <w:rPr>
          <w:bCs/>
          <w:sz w:val="20"/>
          <w:szCs w:val="20"/>
        </w:rPr>
        <w:t>, 3GPP NR Physical layer procedures for control (Release 1</w:t>
      </w:r>
      <w:r>
        <w:rPr>
          <w:rFonts w:hint="eastAsia"/>
          <w:bCs/>
          <w:sz w:val="20"/>
          <w:szCs w:val="20"/>
        </w:rPr>
        <w:t>8</w:t>
      </w:r>
      <w:r>
        <w:rPr>
          <w:bCs/>
          <w:sz w:val="20"/>
          <w:szCs w:val="20"/>
        </w:rPr>
        <w:t>)</w:t>
      </w:r>
    </w:p>
    <w:p>
      <w:pPr>
        <w:pStyle w:val="90"/>
        <w:numPr>
          <w:ilvl w:val="0"/>
          <w:numId w:val="9"/>
        </w:numPr>
        <w:snapToGrid w:val="0"/>
        <w:spacing w:after="40" w:line="240" w:lineRule="exact"/>
        <w:rPr>
          <w:bCs/>
          <w:sz w:val="20"/>
          <w:szCs w:val="20"/>
        </w:rPr>
      </w:pPr>
      <w:r>
        <w:rPr>
          <w:rFonts w:hint="eastAsia"/>
          <w:bCs/>
          <w:sz w:val="20"/>
          <w:szCs w:val="20"/>
        </w:rPr>
        <w:t>R1-2406461</w:t>
      </w:r>
      <w:r>
        <w:rPr>
          <w:bCs/>
          <w:sz w:val="20"/>
          <w:szCs w:val="20"/>
        </w:rPr>
        <w:t xml:space="preserve">, </w:t>
      </w:r>
      <w:r>
        <w:rPr>
          <w:rFonts w:hint="eastAsia"/>
          <w:bCs/>
          <w:sz w:val="20"/>
          <w:szCs w:val="20"/>
        </w:rPr>
        <w:t>Draft CR on the maximum number of PL RS maintained simultaneous for candidate cell,</w:t>
      </w:r>
      <w:r>
        <w:rPr>
          <w:bCs/>
          <w:sz w:val="20"/>
          <w:szCs w:val="20"/>
        </w:rPr>
        <w:t xml:space="preserve"> ZTE</w:t>
      </w:r>
      <w:r>
        <w:rPr>
          <w:rFonts w:hint="eastAsia"/>
          <w:bCs/>
          <w:sz w:val="20"/>
          <w:szCs w:val="20"/>
        </w:rPr>
        <w:t xml:space="preserve"> Corporation, Sanechips</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4FA68"/>
    <w:multiLevelType w:val="singleLevel"/>
    <w:tmpl w:val="8384FA68"/>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16CB283D"/>
    <w:multiLevelType w:val="multilevel"/>
    <w:tmpl w:val="16CB28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FE174AD"/>
    <w:multiLevelType w:val="multilevel"/>
    <w:tmpl w:val="2FE174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E36E9"/>
    <w:multiLevelType w:val="singleLevel"/>
    <w:tmpl w:val="313E36E9"/>
    <w:lvl w:ilvl="0" w:tentative="0">
      <w:start w:val="1"/>
      <w:numFmt w:val="bullet"/>
      <w:lvlText w:val="○"/>
      <w:lvlJc w:val="left"/>
      <w:pPr>
        <w:tabs>
          <w:tab w:val="left" w:pos="420"/>
        </w:tabs>
        <w:ind w:left="840" w:hanging="420"/>
      </w:pPr>
      <w:rPr>
        <w:rFonts w:hint="default" w:ascii="Arial" w:hAnsi="Arial" w:cs="Arial"/>
      </w:rPr>
    </w:lvl>
  </w:abstractNum>
  <w:abstractNum w:abstractNumId="7">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E93823A"/>
    <w:multiLevelType w:val="singleLevel"/>
    <w:tmpl w:val="5E93823A"/>
    <w:lvl w:ilvl="0" w:tentative="0">
      <w:start w:val="1"/>
      <w:numFmt w:val="decimal"/>
      <w:suff w:val="space"/>
      <w:lvlText w:val="[%1]"/>
      <w:lvlJc w:val="left"/>
    </w:lvl>
  </w:abstractNum>
  <w:num w:numId="1">
    <w:abstractNumId w:val="2"/>
  </w:num>
  <w:num w:numId="2">
    <w:abstractNumId w:val="1"/>
  </w:num>
  <w:num w:numId="3">
    <w:abstractNumId w:val="7"/>
  </w:num>
  <w:num w:numId="4">
    <w:abstractNumId w:val="4"/>
  </w:num>
  <w:num w:numId="5">
    <w:abstractNumId w:val="5"/>
  </w:num>
  <w:num w:numId="6">
    <w:abstractNumId w:val="6"/>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35"/>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AEE"/>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A"/>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BDE"/>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A2"/>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B04"/>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66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5AD"/>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56A"/>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1A"/>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E98"/>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5D5"/>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8DA"/>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9A"/>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8BC"/>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83B"/>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82E"/>
    <w:rsid w:val="00E41A0B"/>
    <w:rsid w:val="00E41BFE"/>
    <w:rsid w:val="00E41C2A"/>
    <w:rsid w:val="00E41E26"/>
    <w:rsid w:val="00E41ED5"/>
    <w:rsid w:val="00E42224"/>
    <w:rsid w:val="00E42619"/>
    <w:rsid w:val="00E42E81"/>
    <w:rsid w:val="00E42EAE"/>
    <w:rsid w:val="00E43000"/>
    <w:rsid w:val="00E434E5"/>
    <w:rsid w:val="00E434F6"/>
    <w:rsid w:val="00E438AE"/>
    <w:rsid w:val="00E43FD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205"/>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3483F"/>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A7AC2"/>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A02B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93C0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875809"/>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17E8D"/>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BD7BE3"/>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73B98"/>
    <w:rsid w:val="0C287ECF"/>
    <w:rsid w:val="0C293F71"/>
    <w:rsid w:val="0C2D2FE4"/>
    <w:rsid w:val="0C2E310B"/>
    <w:rsid w:val="0C2E3559"/>
    <w:rsid w:val="0C2E6FB6"/>
    <w:rsid w:val="0C304B08"/>
    <w:rsid w:val="0C323823"/>
    <w:rsid w:val="0C353033"/>
    <w:rsid w:val="0C356442"/>
    <w:rsid w:val="0C356822"/>
    <w:rsid w:val="0C377F40"/>
    <w:rsid w:val="0C39623C"/>
    <w:rsid w:val="0C3B7F77"/>
    <w:rsid w:val="0C3C01FF"/>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36C3"/>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4272B"/>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24AA6"/>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A5C13"/>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C312E"/>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91DAC"/>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81CDE"/>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43C3B"/>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830A0"/>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C1C66"/>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329D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116F"/>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509D5"/>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379"/>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D1FC7"/>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B3A3E"/>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274DE"/>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16226"/>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71EB8"/>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DF077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91D1C"/>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56DD7"/>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0734E"/>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33D06"/>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419A4"/>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C693A"/>
    <w:rsid w:val="4F1E4099"/>
    <w:rsid w:val="4F1E74EE"/>
    <w:rsid w:val="4F222296"/>
    <w:rsid w:val="4F223C4B"/>
    <w:rsid w:val="4F232152"/>
    <w:rsid w:val="4F247513"/>
    <w:rsid w:val="4F256656"/>
    <w:rsid w:val="4F262707"/>
    <w:rsid w:val="4F2D30F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93920"/>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96EB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62B41"/>
    <w:rsid w:val="51885CF3"/>
    <w:rsid w:val="518A030E"/>
    <w:rsid w:val="518A2551"/>
    <w:rsid w:val="518B1B6A"/>
    <w:rsid w:val="518B739B"/>
    <w:rsid w:val="518D6560"/>
    <w:rsid w:val="519152EA"/>
    <w:rsid w:val="519410BA"/>
    <w:rsid w:val="519523A8"/>
    <w:rsid w:val="51965D8A"/>
    <w:rsid w:val="519817CB"/>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726C5"/>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3789D"/>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CF4F30"/>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8F536E"/>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11ED7"/>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AF2863"/>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591C"/>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05BAE"/>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132D4"/>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B6BDB"/>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14D3D"/>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60944"/>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BF427D"/>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F21A6-F0EE-4BD2-98B9-D95A0EE08E7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1623</Words>
  <Characters>9257</Characters>
  <Lines>77</Lines>
  <Paragraphs>21</Paragraphs>
  <TotalTime>3</TotalTime>
  <ScaleCrop>false</ScaleCrop>
  <LinksUpToDate>false</LinksUpToDate>
  <CharactersWithSpaces>10859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2024-08-09T08:55:32Z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4C8B3033024643FF8AD2373772B521D7</vt:lpwstr>
  </property>
</Properties>
</file>